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pPr>
      <w:r>
        <w:t>新旧対比表の抜粋見本</w:t>
      </w:r>
    </w:p>
    <w:p>
      <w:r>
        <w:rPr>
          <w:b/>
        </w:rPr>
        <w:t>資料 1 ／ 公開例 A</w:t>
      </w:r>
    </w:p>
    <w:p>
      <w:r>
        <w:rPr>
          <w:b w:val="0"/>
        </w:rPr>
        <w:t>変更する箇所と理由を読み、次頁の判断票で採否を回答するための見本です。第18条の一論点だけを抜粋しています。</w:t>
      </w:r>
    </w:p>
    <w:p>
      <w:r>
        <w:rPr>
          <w:b w:val="0"/>
        </w:rPr>
        <w:t>あおばの丘マンション管理組合 架空設定</w:t>
      </w:r>
    </w:p>
    <w:p>
      <w:r>
        <w:rPr>
          <w:b/>
        </w:rPr>
        <w:t>変更すること</w:t>
      </w:r>
    </w:p>
    <w:tbl>
      <w:tblPr>
        <w:tblW w:type="auto" w:w="0"/>
        <w:jc w:val="center"/>
        <w:tblLayout w:type="fixed"/>
        <w:tblLook w:firstColumn="1" w:firstRow="1" w:lastColumn="0" w:lastRow="0" w:noHBand="0" w:noVBand="1" w:val="04A0"/>
      </w:tblPr>
      <w:tblGrid>
        <w:gridCol w:w="4876"/>
        <w:gridCol w:w="4876"/>
      </w:tblGrid>
      <w:tr>
        <w:trPr>
          <w:cantSplit/>
          <w:cantSplit/>
        </w:trPr>
        <w:tc>
          <w:tcPr>
            <w:tcW w:type="dxa" w:w="4876"/>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現行の架空条文</w:t>
            </w:r>
          </w:p>
        </w:tc>
        <w:tc>
          <w:tcPr>
            <w:tcW w:type="dxa" w:w="4876"/>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見直し案の架空条文</w:t>
            </w:r>
          </w:p>
        </w:tc>
      </w:tr>
      <w:tr>
        <w:trPr>
          <w:cantSplit/>
          <w:cantSplit/>
        </w:trPr>
        <w:tc>
          <w:tcPr>
            <w:tcW w:type="dxa" w:w="4876"/>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共用集会室の利用を希望する者は、管理組合の窓口で利用申込みを行うものとする。</w:t>
            </w:r>
          </w:p>
        </w:tc>
        <w:tc>
          <w:tcPr>
            <w:tcW w:type="dxa" w:w="4876"/>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共用集会室の利用を希望する者は、管理組合の窓口又は管理組合が指定するオンライン窓口から利用申込みを行うものとする。</w:t>
            </w:r>
          </w:p>
        </w:tc>
      </w:tr>
    </w:tbl>
    <w:p>
      <w:r>
        <w:rPr>
          <w:b/>
        </w:rPr>
        <w:t>提案の目的</w:t>
      </w:r>
    </w:p>
    <w:p>
      <w:r>
        <w:rPr>
          <w:b w:val="0"/>
        </w:rPr>
        <w:t>窓口での申込みを残したまま、オンラインからも申し込めるようにする案です。</w:t>
      </w:r>
    </w:p>
    <w:tbl>
      <w:tblPr>
        <w:tblW w:type="auto" w:w="0"/>
        <w:jc w:val="center"/>
        <w:tblLayout w:type="fixed"/>
        <w:tblLook w:firstColumn="1" w:firstRow="1" w:lastColumn="0" w:lastRow="0" w:noHBand="0" w:noVBand="1" w:val="04A0"/>
      </w:tblPr>
      <w:tblGrid>
        <w:gridCol w:w="2438"/>
        <w:gridCol w:w="7313"/>
      </w:tblGrid>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確認する観点</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この見本の架空設定</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費用</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既存の受付環境を使い、追加費用は発生しない設定。</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担当</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従来の受付担当が両方の申込を確認する設定。</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住民への影響</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オンラインを使わない方も、従来の窓口で申し込める設定。</w:t>
            </w:r>
          </w:p>
        </w:tc>
      </w:tr>
    </w:tbl>
    <w:p>
      <w:r>
        <w:rPr>
          <w:b/>
        </w:rPr>
        <w:t>見本の範囲</w:t>
      </w:r>
    </w:p>
    <w:p>
      <w:r>
        <w:rPr>
          <w:b w:val="0"/>
          <w:sz w:val="21"/>
        </w:rPr>
        <w:t>細則そのものの作成改定、システム導入、運用整備を含む見本ではありません。実案件では、これらの要否・費用・担当を別途確認します。</w:t>
      </w:r>
    </w:p>
    <w:p>
      <w:pPr>
        <w:pStyle w:val="Title"/>
        <w:keepNext/>
        <w:pageBreakBefore/>
      </w:pPr>
      <w:r>
        <w:t>判断票の抜粋見本</w:t>
      </w:r>
    </w:p>
    <w:p>
      <w:r>
        <w:rPr>
          <w:b/>
        </w:rPr>
        <w:t>資料 2 ／ 公開例 A</w:t>
      </w:r>
    </w:p>
    <w:p>
      <w:r>
        <w:rPr>
          <w:b w:val="0"/>
        </w:rPr>
        <w:t>比較表を読んだあとに、理事会等が採用・不採用・保留と理由を回答するための見本です。ここは回答前の状態です。</w:t>
      </w:r>
    </w:p>
    <w:p>
      <w:r>
        <w:rPr>
          <w:b/>
        </w:rPr>
        <w:t>判断すること</w:t>
      </w:r>
    </w:p>
    <w:p>
      <w:r>
        <w:rPr>
          <w:b w:val="0"/>
        </w:rPr>
        <w:t>第18条の申込方法に「管理組合が指定するオンライン窓口」を加えるか。</w:t>
      </w:r>
    </w:p>
    <w:tbl>
      <w:tblPr>
        <w:tblW w:type="auto" w:w="0"/>
        <w:jc w:val="center"/>
        <w:tblLayout w:type="fixed"/>
        <w:tblLook w:firstColumn="1" w:firstRow="1" w:lastColumn="0" w:lastRow="0" w:noHBand="0" w:noVBand="1" w:val="04A0"/>
      </w:tblPr>
      <w:tblGrid>
        <w:gridCol w:w="2438"/>
        <w:gridCol w:w="7313"/>
      </w:tblGrid>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項目</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判断に必要な内容</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変更目的</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申込手段を増やし、従来窓口も残す。</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判断前に確認すること</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費用・担当・窓口併用の可否。この見本では前頁の架空設定として確認済み。</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採否</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 採用　　□ 不採用　　□ 保留</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理由</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 xml:space="preserve">　　　　　　　　　　　　　　　　　　　　　　　　　</w:t>
              <w:br/>
              <w:br/>
              <w:t xml:space="preserve">　　　　　　　　　　　　　　　　　　　　　　　　　</w:t>
            </w:r>
          </w:p>
        </w:tc>
      </w:tr>
    </w:tbl>
    <w:p>
      <w:r>
        <w:rPr>
          <w:b/>
        </w:rPr>
        <w:t>回答の扱い</w:t>
      </w:r>
    </w:p>
    <w:p>
      <w:r>
        <w:rPr>
          <w:b w:val="0"/>
        </w:rPr>
        <w:t>実際の判断は理事会等が行います。事実確認への回答、提案への採否回答、正式決議、納品物の検収はそれぞれ別です。</w:t>
      </w:r>
    </w:p>
    <w:p>
      <w:r>
        <w:rPr>
          <w:b/>
        </w:rPr>
        <w:t>未回答の場合</w:t>
      </w:r>
    </w:p>
    <w:p>
      <w:r>
        <w:rPr>
          <w:b w:val="0"/>
        </w:rPr>
        <w:t>無回答を採用・保留回答・正式承認・検収同意に置き換えません。選択や理由を補わず、未回答の状態を記録します。</w:t>
      </w:r>
    </w:p>
    <w:p>
      <w:pPr>
        <w:pStyle w:val="Title"/>
        <w:keepNext/>
        <w:pageBreakBefore/>
      </w:pPr>
      <w:r>
        <w:t>採否回答記録の抜粋見本</w:t>
      </w:r>
    </w:p>
    <w:p>
      <w:r>
        <w:rPr>
          <w:b/>
        </w:rPr>
        <w:t>資料 3 ／ 公開例 A</w:t>
      </w:r>
    </w:p>
    <w:p>
      <w:r>
        <w:rPr>
          <w:b w:val="0"/>
        </w:rPr>
        <w:t>前頁の判断票に「採用」と回答があった架空設定です。受け取った採否と理由を残し、本文案への反映結果を確認します。</w:t>
      </w:r>
    </w:p>
    <w:tbl>
      <w:tblPr>
        <w:tblW w:type="auto" w:w="0"/>
        <w:jc w:val="center"/>
        <w:tblLayout w:type="fixed"/>
        <w:tblLook w:firstColumn="1" w:firstRow="1" w:lastColumn="0" w:lastRow="0" w:noHBand="0" w:noVBand="1" w:val="04A0"/>
      </w:tblPr>
      <w:tblGrid>
        <w:gridCol w:w="2438"/>
        <w:gridCol w:w="7313"/>
      </w:tblGrid>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記録項目</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受け取った回答と確認結果</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対象</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公開例 A ／ 第18条 共用集会室の利用申込み</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採否</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採用</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回答理由</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窓口を残しつつ申込手段を増やすため。既存担当が両方の申込を受け付け、追加費用は発生しないことを確認した設定。</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反映する内容</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窓口又は管理組合が指定するオンライン窓口から利用申込みを行える内容。</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照合すること</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回答した対象条文・現行版・採用内容の対応。</w:t>
            </w:r>
          </w:p>
        </w:tc>
      </w:tr>
      <w:tr>
        <w:trPr>
          <w:cantSplit/>
          <w:cantSplit/>
        </w:trPr>
        <w:tc>
          <w:tcPr>
            <w:tcW w:type="dxa" w:w="2438"/>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反映状況</w:t>
            </w:r>
          </w:p>
        </w:tc>
        <w:tc>
          <w:tcPr>
            <w:tcW w:type="dxa" w:w="7313"/>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確認した採用内容を、次頁の本文案へ反映。</w:t>
            </w:r>
          </w:p>
        </w:tc>
      </w:tr>
    </w:tbl>
    <w:p>
      <w:r>
        <w:rPr>
          <w:b/>
        </w:rPr>
        <w:t>この見本で確定していないこと</w:t>
      </w:r>
    </w:p>
    <w:p>
      <w:r>
        <w:rPr>
          <w:b w:val="0"/>
        </w:rPr>
        <w:t>正式決議・実施日・検収は、この架空の採否回答からは導きません。本資料はサービスの資料構成を示すもので、実在する承認や納品実績ではありません。</w:t>
      </w:r>
    </w:p>
    <w:p>
      <w:r>
        <w:rPr>
          <w:b w:val="0"/>
          <w:sz w:val="21"/>
        </w:rPr>
        <w:t>不採用・明示保留・未回答は原則現行維持。未回答の新設案は追加しません。後日の回答・修正は合意条件に沿って扱います。</w:t>
      </w:r>
    </w:p>
    <w:p>
      <w:pPr>
        <w:pStyle w:val="Title"/>
        <w:keepNext/>
        <w:pageBreakBefore/>
      </w:pPr>
      <w:r>
        <w:t>反映後の本文案の抜粋見本</w:t>
      </w:r>
    </w:p>
    <w:p>
      <w:r>
        <w:rPr>
          <w:b/>
        </w:rPr>
        <w:t>資料 4 ／ 公開例 A</w:t>
      </w:r>
    </w:p>
    <w:p>
      <w:r>
        <w:rPr>
          <w:b w:val="0"/>
        </w:rPr>
        <w:t>第18条だけの抜粋です。本文全文案の成果物全体を再現したものではありません。前頁で記録した採用内容との対応を示します。</w:t>
      </w:r>
    </w:p>
    <w:p>
      <w:r>
        <w:rPr>
          <w:b/>
        </w:rPr>
        <w:t>あおばの丘マンション管理組合</w:t>
      </w:r>
    </w:p>
    <w:p>
      <w:r>
        <w:rPr>
          <w:b/>
        </w:rPr>
        <w:t>管理規約 改定案</w:t>
      </w:r>
    </w:p>
    <w:p>
      <w:r>
        <w:rPr>
          <w:b/>
        </w:rPr>
        <w:t>共用集会室の利用申込み</w:t>
      </w:r>
    </w:p>
    <w:p>
      <w:r>
        <w:rPr>
          <w:b w:val="0"/>
        </w:rPr>
        <w:t>第18条　共用集会室の利用を希望する者は、管理組合の窓口又は管理組合が指定するオンライン窓口から利用申込みを行うものとする。</w:t>
      </w:r>
    </w:p>
    <w:p>
      <w:r>
        <w:rPr>
          <w:b/>
        </w:rPr>
        <w:t>読み合わせる資料</w:t>
      </w:r>
    </w:p>
    <w:p>
      <w:r>
        <w:rPr>
          <w:b w:val="0"/>
        </w:rPr>
        <w:t>変更の理由は資料1、採否とその理由は資料3で確認します。本文案の中には説明や差分記号を混在させません。</w:t>
      </w:r>
    </w:p>
    <w:tbl>
      <w:tblPr>
        <w:tblW w:type="auto" w:w="0"/>
        <w:jc w:val="center"/>
        <w:tblLayout w:type="fixed"/>
        <w:tblLook w:firstColumn="1" w:firstRow="1" w:lastColumn="0" w:lastRow="0" w:noHBand="0" w:noVBand="1" w:val="04A0"/>
      </w:tblPr>
      <w:tblGrid>
        <w:gridCol w:w="2835"/>
        <w:gridCol w:w="6917"/>
      </w:tblGrid>
      <w:tr>
        <w:trPr>
          <w:cantSplit/>
          <w:cantSplit/>
        </w:trPr>
        <w:tc>
          <w:tcPr>
            <w:tcW w:type="dxa" w:w="2835"/>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資料</w:t>
            </w:r>
          </w:p>
        </w:tc>
        <w:tc>
          <w:tcPr>
            <w:tcW w:type="dxa" w:w="6917"/>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2C5572"/>
          </w:tcPr>
          <w:p>
            <w:pPr>
              <w:spacing w:after="40" w:line="324" w:lineRule="auto"/>
            </w:pPr>
            <w:r>
              <w:rPr>
                <w:b/>
                <w:color w:val="FFFFFF"/>
                <w:sz w:val="21"/>
              </w:rPr>
              <w:t>確認すること</w:t>
            </w:r>
          </w:p>
        </w:tc>
      </w:tr>
      <w:tr>
        <w:trPr>
          <w:cantSplit/>
          <w:cantSplit/>
        </w:trPr>
        <w:tc>
          <w:tcPr>
            <w:tcW w:type="dxa" w:w="2835"/>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新旧対比表</w:t>
            </w:r>
          </w:p>
        </w:tc>
        <w:tc>
          <w:tcPr>
            <w:tcW w:type="dxa" w:w="6917"/>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どこがどう変わるか。</w:t>
            </w:r>
          </w:p>
        </w:tc>
      </w:tr>
      <w:tr>
        <w:trPr>
          <w:cantSplit/>
          <w:cantSplit/>
        </w:trPr>
        <w:tc>
          <w:tcPr>
            <w:tcW w:type="dxa" w:w="2835"/>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判断票</w:t>
            </w:r>
          </w:p>
        </w:tc>
        <w:tc>
          <w:tcPr>
            <w:tcW w:type="dxa" w:w="6917"/>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何を判断し、どこへ回答するか。</w:t>
            </w:r>
          </w:p>
        </w:tc>
      </w:tr>
      <w:tr>
        <w:trPr>
          <w:cantSplit/>
          <w:cantSplit/>
        </w:trPr>
        <w:tc>
          <w:tcPr>
            <w:tcW w:type="dxa" w:w="2835"/>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採否回答記録</w:t>
            </w:r>
          </w:p>
        </w:tc>
        <w:tc>
          <w:tcPr>
            <w:tcW w:type="dxa" w:w="6917"/>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FFFFFF"/>
          </w:tcPr>
          <w:p>
            <w:pPr>
              <w:spacing w:after="40" w:line="324" w:lineRule="auto"/>
            </w:pPr>
            <w:r>
              <w:rPr>
                <w:b w:val="0"/>
                <w:color w:val="000000"/>
                <w:sz w:val="21"/>
              </w:rPr>
              <w:t>どの採否・理由を受け取り、何を反映したか。</w:t>
            </w:r>
          </w:p>
        </w:tc>
      </w:tr>
      <w:tr>
        <w:trPr>
          <w:cantSplit/>
          <w:cantSplit/>
        </w:trPr>
        <w:tc>
          <w:tcPr>
            <w:tcW w:type="dxa" w:w="2835"/>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反映後の本文案</w:t>
            </w:r>
          </w:p>
        </w:tc>
        <w:tc>
          <w:tcPr>
            <w:tcW w:type="dxa" w:w="6917"/>
            <w:vAlign w:val="center"/>
            <w:tcBorders>
              <w:top w:val="single" w:sz="4" w:color="D9D9D9"/>
              <w:left w:val="single" w:sz="4" w:color="D9D9D9"/>
              <w:bottom w:val="single" w:sz="4" w:color="D9D9D9"/>
              <w:right w:val="single" w:sz="4" w:color="D9D9D9"/>
            </w:tcBorders>
            <w:tcMar>
              <w:top w:w="130" w:type="dxa"/>
              <w:left w:w="130" w:type="dxa"/>
              <w:bottom w:w="130" w:type="dxa"/>
              <w:right w:w="130" w:type="dxa"/>
            </w:tcMar>
            <w:shd w:fill="EFF4F8"/>
          </w:tcPr>
          <w:p>
            <w:pPr>
              <w:spacing w:after="40" w:line="324" w:lineRule="auto"/>
            </w:pPr>
            <w:r>
              <w:rPr>
                <w:b w:val="0"/>
                <w:color w:val="000000"/>
                <w:sz w:val="21"/>
              </w:rPr>
              <w:t>回答に沿った内容が収録されているか。</w:t>
            </w:r>
          </w:p>
        </w:tc>
      </w:tr>
    </w:tbl>
    <w:p>
      <w:r>
        <w:rPr>
          <w:b/>
        </w:rPr>
        <w:t>実際のご依頼では</w:t>
      </w:r>
    </w:p>
    <w:p>
      <w:r>
        <w:rPr>
          <w:b w:val="0"/>
        </w:rPr>
        <w:t>必要な納品物と対象範囲を見積時に合意します。概要書・運用影響資料は用途に応じて提案し、最初の見積総額に明記します。</w:t>
      </w:r>
    </w:p>
    <w:p>
      <w:r>
        <w:rPr>
          <w:b/>
        </w:rPr>
        <w:t>架空例について</w:t>
      </w:r>
    </w:p>
    <w:p>
      <w:r>
        <w:rPr>
          <w:b w:val="0"/>
          <w:sz w:val="21"/>
        </w:rPr>
        <w:t>物件名、条番号、条文、費用・担当の条件、採否と理由はすべて説明用に作成した架空設定です。法令・標準管理規約・実顧客資料の引用はありません。</w:t>
      </w:r>
    </w:p>
    <w:sectPr w:rsidR="00FC693F" w:rsidRPr="0006063C" w:rsidSect="00034616">
      <w:headerReference w:type="default" r:id="rId9"/>
      <w:footerReference w:type="default" r:id="rId10"/>
      <w:pgSz w:w="11906" w:h="16838"/>
      <w:pgMar w:top="1077" w:right="1077" w:bottom="107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BD5B17"/>
        <w:sz w:val="16"/>
      </w:rPr>
      <w:t xml:space="preserve">公開用架空例・納品物の抜粋見本・実際の規約として使用不可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2C5572"/>
        <w:sz w:val="18"/>
      </w:rPr>
      <w:t>たいらオフィス　公開用架空例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20" w:line="312" w:lineRule="auto"/>
    </w:pPr>
    <w:rPr>
      <w:rFonts w:ascii="Yu Gothic" w:hAnsi="Yu Gothic" w:eastAsia="Yu Gothi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480" w:after="120"/>
      <w:outlineLvl w:val="0"/>
    </w:pPr>
    <w:rPr>
      <w:rFonts w:asciiTheme="majorHAnsi" w:eastAsiaTheme="majorEastAsia" w:hAnsiTheme="majorHAnsi" w:cstheme="majorBidi" w:ascii="Yu Gothic" w:hAnsi="Yu Gothic" w:eastAsia="Yu Gothic"/>
      <w:b/>
      <w:bCs/>
      <w:color w:val="000000"/>
      <w:sz w:val="28"/>
      <w:szCs w:val="28"/>
    </w:rPr>
  </w:style>
  <w:style w:type="paragraph" w:styleId="Heading2">
    <w:name w:val="heading 2"/>
    <w:basedOn w:val="Normal"/>
    <w:next w:val="Normal"/>
    <w:link w:val="Heading2Char"/>
    <w:uiPriority w:val="9"/>
    <w:unhideWhenUsed/>
    <w:qFormat/>
    <w:rsid w:val="00FC693F"/>
    <w:pPr>
      <w:keepNext w:val="0"/>
      <w:keepLines/>
      <w:spacing w:before="200" w:after="120"/>
      <w:outlineLvl w:val="1"/>
    </w:pPr>
    <w:rPr>
      <w:rFonts w:asciiTheme="majorHAnsi" w:eastAsiaTheme="majorEastAsia" w:hAnsiTheme="majorHAnsi" w:cstheme="majorBidi" w:ascii="Yu Gothic" w:hAnsi="Yu Gothic" w:eastAsia="Yu Gothic"/>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120" w:line="240" w:lineRule="auto"/>
      <w:contextualSpacing/>
    </w:pPr>
    <w:rPr>
      <w:rFonts w:asciiTheme="majorHAnsi" w:eastAsiaTheme="majorEastAsia" w:hAnsiTheme="majorHAnsi" w:cstheme="majorBidi" w:ascii="Yu Gothic" w:hAnsi="Yu Gothic" w:eastAsia="Yu Gothic"/>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管理規約改定支援 納品物の公開用抜粋見本</dc:title>
  <dc:subject>架空例による納品物構成の説明</dc:subject>
  <dc:creator>たいらオフィス</dc:creator>
  <cp:keywords/>
  <dc:description>generated by python-docx</dc:description>
  <cp:lastModifiedBy/>
  <cp:revision>1</cp:revision>
  <dcterms:created xsi:type="dcterms:W3CDTF">2013-12-23T23:15:00Z</dcterms:created>
  <dcterms:modified xsi:type="dcterms:W3CDTF">2013-12-23T23:15:00Z</dcterms:modified>
  <cp:category/>
</cp:coreProperties>
</file>